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DE" w:rsidRPr="00EB0534" w:rsidRDefault="005E2031" w:rsidP="005E2031">
      <w:pPr>
        <w:tabs>
          <w:tab w:val="left" w:pos="1140"/>
        </w:tabs>
        <w:jc w:val="center"/>
        <w:rPr>
          <w:rFonts w:ascii="Tahoma" w:hAnsi="Tahoma" w:cs="Tahoma"/>
          <w:sz w:val="24"/>
        </w:rPr>
      </w:pPr>
      <w:r>
        <w:rPr>
          <w:rFonts w:ascii="TT Octosquares Bold" w:hAnsi="TT Octosquares Bold" w:cs="Tahoma"/>
          <w:noProof/>
          <w:color w:val="0000FF"/>
          <w:sz w:val="32"/>
          <w:szCs w:val="32"/>
        </w:rPr>
        <w:drawing>
          <wp:inline distT="0" distB="0" distL="0" distR="0" wp14:anchorId="7418AF9E" wp14:editId="72163F8D">
            <wp:extent cx="2301245" cy="640081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СК Норильск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5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C1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p w:rsidR="005E2031" w:rsidRPr="001C52D5" w:rsidRDefault="005E203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412CD2" w:rsidRDefault="00E63E69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u w:val="single"/>
              </w:rPr>
              <w:t>23.06.2025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4B012A">
              <w:rPr>
                <w:rFonts w:ascii="Tahoma" w:hAnsi="Tahoma" w:cs="Tahoma"/>
                <w:sz w:val="24"/>
              </w:rPr>
              <w:t>СКН</w:t>
            </w:r>
            <w:r>
              <w:rPr>
                <w:rFonts w:ascii="Tahoma" w:hAnsi="Tahoma" w:cs="Tahoma"/>
                <w:sz w:val="24"/>
                <w:u w:val="single"/>
              </w:rPr>
              <w:t>/043/1-пр-тк</w:t>
            </w:r>
            <w:bookmarkStart w:id="0" w:name="_GoBack"/>
            <w:bookmarkEnd w:id="0"/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0D34E5" w:rsidRPr="00981523" w:rsidRDefault="000D34E5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Pr="002B48D8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33663A" w:rsidRDefault="000D34E5" w:rsidP="0033663A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="005E2031">
        <w:rPr>
          <w:rFonts w:ascii="Tahoma" w:eastAsia="Calibri" w:hAnsi="Tahoma" w:cs="Tahoma"/>
          <w:sz w:val="24"/>
        </w:rPr>
        <w:t>ООО «Спортивный клуб</w:t>
      </w:r>
      <w:r w:rsidRPr="002B48D8">
        <w:rPr>
          <w:rFonts w:ascii="Tahoma" w:eastAsia="Calibri" w:hAnsi="Tahoma" w:cs="Tahoma"/>
          <w:sz w:val="24"/>
        </w:rPr>
        <w:t xml:space="preserve">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3260"/>
      </w:tblGrid>
      <w:tr w:rsidR="00FB0E9B" w:rsidRPr="00694FF2" w:rsidTr="00360C84">
        <w:trPr>
          <w:trHeight w:val="408"/>
        </w:trPr>
        <w:tc>
          <w:tcPr>
            <w:tcW w:w="3544" w:type="dxa"/>
            <w:shd w:val="clear" w:color="auto" w:fill="auto"/>
          </w:tcPr>
          <w:p w:rsidR="00FB0E9B" w:rsidRPr="00855E4F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855E4F">
              <w:rPr>
                <w:rFonts w:ascii="Tahoma" w:hAnsi="Tahoma" w:cs="Tahoma"/>
                <w:sz w:val="24"/>
              </w:rPr>
              <w:t xml:space="preserve">1. Предмет закупки </w:t>
            </w:r>
          </w:p>
        </w:tc>
        <w:tc>
          <w:tcPr>
            <w:tcW w:w="5528" w:type="dxa"/>
            <w:gridSpan w:val="2"/>
            <w:vAlign w:val="center"/>
          </w:tcPr>
          <w:p w:rsidR="00FB0E9B" w:rsidRPr="00855E4F" w:rsidRDefault="00855E4F" w:rsidP="00FB0E9B">
            <w:pPr>
              <w:ind w:right="-273"/>
              <w:rPr>
                <w:rFonts w:ascii="Tahoma" w:hAnsi="Tahoma" w:cs="Tahoma"/>
                <w:sz w:val="24"/>
              </w:rPr>
            </w:pPr>
            <w:r w:rsidRPr="00855E4F">
              <w:rPr>
                <w:rFonts w:ascii="Tahoma" w:eastAsia="Calibri" w:hAnsi="Tahoma" w:cs="Tahoma"/>
                <w:sz w:val="24"/>
              </w:rPr>
              <w:t xml:space="preserve">Оказание услуг по использованию платформы </w:t>
            </w:r>
            <w:proofErr w:type="spellStart"/>
            <w:r w:rsidRPr="00855E4F">
              <w:rPr>
                <w:rFonts w:ascii="Tahoma" w:eastAsia="Calibri" w:hAnsi="Tahoma" w:cs="Tahoma"/>
                <w:sz w:val="24"/>
              </w:rPr>
              <w:t>Elama</w:t>
            </w:r>
            <w:proofErr w:type="spellEnd"/>
            <w:r w:rsidRPr="00855E4F">
              <w:rPr>
                <w:rFonts w:ascii="Tahoma" w:eastAsia="Calibri" w:hAnsi="Tahoma" w:cs="Tahoma"/>
                <w:sz w:val="24"/>
              </w:rPr>
              <w:t xml:space="preserve"> для контекстной и таргетированной рекламы в социальных медиа и пойсковых системах (Лот № 163086)</w:t>
            </w:r>
          </w:p>
        </w:tc>
      </w:tr>
      <w:tr w:rsidR="00FB0E9B" w:rsidRPr="00694FF2" w:rsidTr="00FB0E9B">
        <w:trPr>
          <w:trHeight w:val="1367"/>
        </w:trPr>
        <w:tc>
          <w:tcPr>
            <w:tcW w:w="3544" w:type="dxa"/>
            <w:shd w:val="clear" w:color="auto" w:fill="auto"/>
            <w:vAlign w:val="center"/>
          </w:tcPr>
          <w:p w:rsidR="00FB0E9B" w:rsidRPr="00145DF7" w:rsidRDefault="00FB0E9B" w:rsidP="00FB0E9B">
            <w:pPr>
              <w:spacing w:line="259" w:lineRule="auto"/>
              <w:jc w:val="both"/>
              <w:rPr>
                <w:rFonts w:ascii="Tahoma" w:hAnsi="Tahoma" w:cs="Tahoma"/>
                <w:sz w:val="24"/>
              </w:rPr>
            </w:pPr>
            <w:r w:rsidRPr="00145DF7">
              <w:rPr>
                <w:rFonts w:ascii="Tahoma" w:hAnsi="Tahoma" w:cs="Tahoma"/>
                <w:sz w:val="24"/>
              </w:rPr>
              <w:t>2. Перечень и значения отдельных характеристик, которыми должны обладать материально-технические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145DF7" w:rsidRDefault="00FB0E9B" w:rsidP="00FB0E9B">
            <w:pPr>
              <w:ind w:right="288"/>
              <w:jc w:val="both"/>
              <w:rPr>
                <w:rFonts w:ascii="Tahoma" w:eastAsia="Calibri" w:hAnsi="Tahoma" w:cs="Tahoma"/>
                <w:sz w:val="24"/>
              </w:rPr>
            </w:pPr>
            <w:r w:rsidRPr="00145DF7">
              <w:rPr>
                <w:rFonts w:ascii="Tahoma" w:eastAsia="Calibri" w:hAnsi="Tahoma" w:cs="Tahoma"/>
                <w:sz w:val="24"/>
              </w:rPr>
              <w:t>Согласно Техн</w:t>
            </w:r>
            <w:r w:rsidR="00145DF7">
              <w:rPr>
                <w:rFonts w:ascii="Tahoma" w:eastAsia="Calibri" w:hAnsi="Tahoma" w:cs="Tahoma"/>
                <w:sz w:val="24"/>
              </w:rPr>
              <w:t>ическому заданию (приложение № 3</w:t>
            </w:r>
            <w:r w:rsidRPr="00145DF7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FB0E9B" w:rsidRPr="00694FF2" w:rsidTr="0033663A">
        <w:trPr>
          <w:trHeight w:val="89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0E9B" w:rsidRPr="00694FF2" w:rsidRDefault="00FB0E9B" w:rsidP="00FB0E9B">
            <w:pPr>
              <w:tabs>
                <w:tab w:val="left" w:pos="9214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</w:t>
            </w:r>
            <w:r w:rsidRPr="00694FF2">
              <w:rPr>
                <w:rFonts w:ascii="Tahoma" w:hAnsi="Tahoma" w:cs="Tahoma"/>
                <w:sz w:val="24"/>
              </w:rPr>
              <w:t>. Инструмент проведения Закупки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3F10AB" w:rsidRDefault="00145DF7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Тендер с запросом цен</w:t>
            </w:r>
            <w:r w:rsidR="00FB0E9B" w:rsidRPr="003F10AB">
              <w:rPr>
                <w:rFonts w:ascii="Tahoma" w:eastAsia="Calibri" w:hAnsi="Tahoma" w:cs="Tahoma"/>
                <w:sz w:val="24"/>
              </w:rPr>
              <w:t>.</w:t>
            </w:r>
          </w:p>
          <w:p w:rsidR="00FB0E9B" w:rsidRPr="003F10AB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F10AB">
              <w:rPr>
                <w:rFonts w:ascii="Tahoma" w:eastAsia="Calibri" w:hAnsi="Tahoma" w:cs="Tahoma"/>
                <w:sz w:val="24"/>
              </w:rPr>
              <w:t>Заказчик вправе изменить инструмент без объяснения причин</w:t>
            </w:r>
          </w:p>
        </w:tc>
      </w:tr>
      <w:tr w:rsidR="00FB0E9B" w:rsidRPr="00694FF2" w:rsidTr="0033663A">
        <w:trPr>
          <w:trHeight w:val="589"/>
        </w:trPr>
        <w:tc>
          <w:tcPr>
            <w:tcW w:w="3544" w:type="dxa"/>
            <w:shd w:val="clear" w:color="auto" w:fill="auto"/>
          </w:tcPr>
          <w:p w:rsidR="00FB0E9B" w:rsidRPr="00A71C83" w:rsidRDefault="00FB0E9B" w:rsidP="00FB0E9B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4</w:t>
            </w:r>
            <w:r w:rsidRPr="00A71C83">
              <w:rPr>
                <w:rFonts w:ascii="Tahoma" w:eastAsia="Calibri" w:hAnsi="Tahoma" w:cs="Tahoma"/>
                <w:sz w:val="24"/>
              </w:rPr>
              <w:t>. Срок подачи предложения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3F10AB" w:rsidRDefault="00FB0E9B" w:rsidP="00FB0E9B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>Указан на сайтах</w:t>
            </w:r>
            <w:r>
              <w:rPr>
                <w:rFonts w:ascii="Tahoma" w:hAnsi="Tahoma" w:cs="Tahoma"/>
                <w:sz w:val="24"/>
              </w:rPr>
              <w:t xml:space="preserve"> Хоккейной команды</w:t>
            </w:r>
            <w:r w:rsidRPr="003F10AB">
              <w:rPr>
                <w:rFonts w:ascii="Tahoma" w:hAnsi="Tahoma" w:cs="Tahoma"/>
                <w:sz w:val="24"/>
              </w:rPr>
              <w:t xml:space="preserve"> «Норильск»</w:t>
            </w:r>
            <w:r>
              <w:rPr>
                <w:rFonts w:ascii="Tahoma" w:hAnsi="Tahoma" w:cs="Tahoma"/>
                <w:sz w:val="24"/>
              </w:rPr>
              <w:t xml:space="preserve"> и</w:t>
            </w:r>
            <w:r w:rsidRPr="003F10AB">
              <w:rPr>
                <w:rFonts w:ascii="Tahoma" w:hAnsi="Tahoma" w:cs="Tahoma"/>
                <w:sz w:val="24"/>
              </w:rPr>
              <w:t xml:space="preserve"> ПАО «ГМК «Норильский никель»</w:t>
            </w:r>
            <w:r>
              <w:t xml:space="preserve"> (</w:t>
            </w:r>
            <w:hyperlink r:id="rId9" w:tgtFrame="_blank" w:history="1">
              <w:r>
                <w:rPr>
                  <w:rStyle w:val="ac"/>
                </w:rPr>
                <w:t>https://nornickel.ru/suppliers/tenders/local/</w:t>
              </w:r>
            </w:hyperlink>
            <w:r>
              <w:t> )</w:t>
            </w:r>
            <w:r w:rsidRPr="003F10AB">
              <w:rPr>
                <w:rFonts w:ascii="Tahoma" w:hAnsi="Tahoma" w:cs="Tahoma"/>
                <w:sz w:val="24"/>
              </w:rPr>
              <w:t>.</w:t>
            </w:r>
          </w:p>
          <w:p w:rsidR="00FB0E9B" w:rsidRDefault="00FB0E9B" w:rsidP="00FB0E9B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 xml:space="preserve">Предложения/ дополнения/ уточнения, полученные после указанного срока либо не соответствующие требованиям, не рассматриваются. </w:t>
            </w:r>
          </w:p>
          <w:p w:rsidR="00FB0E9B" w:rsidRPr="003F10AB" w:rsidRDefault="00FB0E9B" w:rsidP="00FB0E9B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ООО «Спортивный клуб</w:t>
            </w:r>
            <w:r w:rsidRPr="003F10AB">
              <w:rPr>
                <w:rFonts w:ascii="Tahoma" w:hAnsi="Tahoma" w:cs="Tahoma"/>
                <w:sz w:val="24"/>
              </w:rPr>
              <w:t xml:space="preserve"> «Норильск» вправе</w:t>
            </w:r>
            <w:r>
              <w:rPr>
                <w:rFonts w:ascii="Tahoma" w:hAnsi="Tahoma" w:cs="Tahoma"/>
                <w:sz w:val="24"/>
              </w:rPr>
              <w:t>,</w:t>
            </w:r>
            <w:r w:rsidRPr="003F10AB">
              <w:rPr>
                <w:rFonts w:ascii="Tahoma" w:hAnsi="Tahoma" w:cs="Tahoma"/>
                <w:sz w:val="24"/>
              </w:rPr>
              <w:t xml:space="preserve"> при необходимости</w:t>
            </w:r>
            <w:r>
              <w:rPr>
                <w:rFonts w:ascii="Tahoma" w:hAnsi="Tahoma" w:cs="Tahoma"/>
                <w:sz w:val="24"/>
              </w:rPr>
              <w:t>,</w:t>
            </w:r>
            <w:r w:rsidRPr="003F10AB">
              <w:rPr>
                <w:rFonts w:ascii="Tahoma" w:hAnsi="Tahoma" w:cs="Tahoma"/>
                <w:sz w:val="24"/>
              </w:rPr>
              <w:t xml:space="preserve"> изменить данный срок</w:t>
            </w:r>
          </w:p>
        </w:tc>
      </w:tr>
      <w:tr w:rsidR="00FB0E9B" w:rsidRPr="00694FF2" w:rsidTr="0033663A">
        <w:trPr>
          <w:trHeight w:val="369"/>
        </w:trPr>
        <w:tc>
          <w:tcPr>
            <w:tcW w:w="3544" w:type="dxa"/>
            <w:shd w:val="clear" w:color="auto" w:fill="auto"/>
          </w:tcPr>
          <w:p w:rsidR="00FB0E9B" w:rsidRPr="0079219D" w:rsidRDefault="00FB0E9B" w:rsidP="00FB0E9B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5</w:t>
            </w:r>
            <w:r w:rsidRPr="0079219D">
              <w:rPr>
                <w:rFonts w:ascii="Tahoma" w:eastAsia="Calibri" w:hAnsi="Tahoma" w:cs="Tahoma"/>
                <w:sz w:val="24"/>
              </w:rPr>
              <w:t>. Базис поставки/оказания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79219D" w:rsidRDefault="00FB0E9B" w:rsidP="00FB0E9B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Техн</w:t>
            </w:r>
            <w:r w:rsidR="00145DF7">
              <w:rPr>
                <w:rFonts w:ascii="Tahoma" w:eastAsia="Calibri" w:hAnsi="Tahoma" w:cs="Tahoma"/>
                <w:sz w:val="24"/>
              </w:rPr>
              <w:t>ическому заданию (приложение № 3</w:t>
            </w:r>
            <w:r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FB0E9B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FB0E9B" w:rsidRPr="0079219D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6</w:t>
            </w:r>
            <w:r w:rsidRPr="0079219D">
              <w:rPr>
                <w:rFonts w:ascii="Tahoma" w:eastAsia="Calibri" w:hAnsi="Tahoma" w:cs="Tahoma"/>
                <w:sz w:val="24"/>
              </w:rPr>
              <w:t xml:space="preserve">. Форма, условия и сроки оплаты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FB0E9B" w:rsidRDefault="00FB0E9B" w:rsidP="00FB0E9B">
            <w:pPr>
              <w:jc w:val="both"/>
              <w:rPr>
                <w:rFonts w:ascii="Tahoma" w:hAnsi="Tahoma" w:cs="Tahoma"/>
                <w:sz w:val="24"/>
              </w:rPr>
            </w:pPr>
            <w:r w:rsidRPr="00FB0E9B">
              <w:rPr>
                <w:rFonts w:ascii="Tahoma" w:hAnsi="Tahoma" w:cs="Tahoma"/>
                <w:sz w:val="24"/>
              </w:rPr>
              <w:t>Порядок расчетов по сделке будет осуществляться на условиях следующего содержания:</w:t>
            </w:r>
          </w:p>
          <w:p w:rsidR="00FB0E9B" w:rsidRPr="0079219D" w:rsidRDefault="00FB0E9B" w:rsidP="00FB0E9B">
            <w:pPr>
              <w:jc w:val="both"/>
              <w:rPr>
                <w:rFonts w:ascii="Tahoma" w:hAnsi="Tahoma" w:cs="Tahoma"/>
                <w:sz w:val="24"/>
              </w:rPr>
            </w:pPr>
            <w:r w:rsidRPr="00FB0E9B">
              <w:rPr>
                <w:rFonts w:ascii="Tahoma" w:hAnsi="Tahoma" w:cs="Tahoma"/>
                <w:sz w:val="24"/>
              </w:rPr>
              <w:t>Оплата цены оказанных Исполнителем услуг, указанной в Акте</w:t>
            </w:r>
            <w:r w:rsidRPr="00FB0E9B">
              <w:rPr>
                <w:rFonts w:ascii="Tahoma" w:eastAsiaTheme="minorEastAsia" w:hAnsi="Tahoma" w:cs="Tahoma"/>
                <w:sz w:val="24"/>
              </w:rPr>
              <w:t xml:space="preserve"> </w:t>
            </w:r>
            <w:r w:rsidRPr="00FB0E9B">
              <w:rPr>
                <w:rFonts w:ascii="Tahoma" w:hAnsi="Tahoma" w:cs="Tahoma"/>
                <w:sz w:val="24"/>
              </w:rPr>
              <w:t xml:space="preserve">сдачи-приемки услуг, осуществляется на основании подписанного Заказчиком Акта </w:t>
            </w:r>
            <w:r w:rsidRPr="00FB0E9B">
              <w:rPr>
                <w:rFonts w:ascii="Tahoma" w:eastAsia="Calibri" w:hAnsi="Tahoma" w:cs="Tahoma"/>
                <w:iCs/>
                <w:sz w:val="24"/>
              </w:rPr>
              <w:t>после истечения 30</w:t>
            </w:r>
            <w:r w:rsidRPr="00FB0E9B">
              <w:rPr>
                <w:rFonts w:ascii="Tahoma" w:hAnsi="Tahoma" w:cs="Tahoma"/>
                <w:sz w:val="24"/>
              </w:rPr>
              <w:t xml:space="preserve"> (тридцати) календарных дней с даты получения Заказчиком от Исполнителя Акта, </w:t>
            </w:r>
            <w:r w:rsidRPr="00FB0E9B">
              <w:rPr>
                <w:rFonts w:ascii="Tahoma" w:hAnsi="Tahoma" w:cs="Tahoma"/>
                <w:sz w:val="24"/>
              </w:rPr>
              <w:lastRenderedPageBreak/>
              <w:t>счета и счета-фактуры в оригинале на бумажном носителе при условии соблюдения установленных норм их оформления</w:t>
            </w:r>
          </w:p>
        </w:tc>
      </w:tr>
      <w:tr w:rsidR="00FB0E9B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7</w:t>
            </w:r>
            <w:r w:rsidRPr="00694FF2">
              <w:rPr>
                <w:rFonts w:ascii="Tahoma" w:eastAsia="Calibri" w:hAnsi="Tahoma" w:cs="Tahoma"/>
                <w:sz w:val="24"/>
              </w:rPr>
              <w:t>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Типовая форма договора</w:t>
            </w:r>
          </w:p>
          <w:p w:rsidR="00FB0E9B" w:rsidRDefault="00FB0E9B" w:rsidP="00FB0E9B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Основные требования, предъявляемые к банковской гарантии:</w:t>
            </w:r>
          </w:p>
          <w:p w:rsidR="00FB0E9B" w:rsidRDefault="00FB0E9B" w:rsidP="00FB0E9B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FB0E9B" w:rsidRDefault="00FB0E9B" w:rsidP="00FB0E9B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срок действия банковской гарантии должен заканчиваться не ранее, чем через 30 (тридцать) рабочих дней после наступления крайней даты исполнения обеспеченных банковской гарантией обязательств поставщика;</w:t>
            </w:r>
          </w:p>
          <w:p w:rsidR="00FB0E9B" w:rsidRDefault="00FB0E9B" w:rsidP="00FB0E9B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необходимость предоставления продления банковской гарантии, в случае неисполнения 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FB0E9B" w:rsidRPr="00694FF2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FB0E9B" w:rsidRPr="00694FF2" w:rsidTr="0033663A">
        <w:trPr>
          <w:trHeight w:val="646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8</w:t>
            </w:r>
            <w:r w:rsidRPr="00694FF2">
              <w:rPr>
                <w:rFonts w:ascii="Tahoma" w:eastAsia="Calibri" w:hAnsi="Tahoma" w:cs="Tahoma"/>
                <w:sz w:val="24"/>
              </w:rPr>
              <w:t>. График / Срок поставки / выполнения работ / 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694FF2" w:rsidRDefault="00FB0E9B" w:rsidP="00FB0E9B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ahoma" w:hAnsi="Tahoma" w:cs="Tahoma"/>
                <w:sz w:val="24"/>
                <w:lang w:eastAsia="zh-CN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Техн</w:t>
            </w:r>
            <w:r w:rsidR="00145DF7">
              <w:rPr>
                <w:rFonts w:ascii="Tahoma" w:eastAsia="Calibri" w:hAnsi="Tahoma" w:cs="Tahoma"/>
                <w:sz w:val="24"/>
              </w:rPr>
              <w:t>ическому заданию (приложение № 3</w:t>
            </w:r>
            <w:r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FB0E9B" w:rsidRPr="00694FF2" w:rsidTr="00FB0E9B">
        <w:trPr>
          <w:trHeight w:val="863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9</w:t>
            </w:r>
            <w:r w:rsidRPr="00694FF2">
              <w:rPr>
                <w:rFonts w:ascii="Tahoma" w:eastAsia="Calibri" w:hAnsi="Tahoma" w:cs="Tahoma"/>
                <w:sz w:val="24"/>
              </w:rPr>
              <w:t>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694FF2" w:rsidRDefault="00855E4F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B0E9B" w:rsidRPr="00694FF2" w:rsidTr="0033663A">
        <w:trPr>
          <w:trHeight w:val="1495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10</w:t>
            </w:r>
            <w:r w:rsidRPr="00694FF2">
              <w:rPr>
                <w:rFonts w:ascii="Tahoma" w:eastAsia="Calibri" w:hAnsi="Tahoma" w:cs="Tahoma"/>
                <w:sz w:val="24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FB0E9B" w:rsidRDefault="00855E4F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B0E9B" w:rsidRPr="00694FF2" w:rsidTr="0033663A">
        <w:trPr>
          <w:trHeight w:val="2196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11</w:t>
            </w:r>
            <w:r w:rsidRPr="00694FF2">
              <w:rPr>
                <w:rFonts w:ascii="Tahoma" w:eastAsia="Calibri" w:hAnsi="Tahoma" w:cs="Tahoma"/>
                <w:sz w:val="24"/>
              </w:rPr>
              <w:t xml:space="preserve">. Экологические требования, требования к </w:t>
            </w:r>
            <w:proofErr w:type="spellStart"/>
            <w:r w:rsidRPr="00694FF2">
              <w:rPr>
                <w:rFonts w:ascii="Tahoma" w:eastAsia="Calibri" w:hAnsi="Tahoma" w:cs="Tahoma"/>
                <w:sz w:val="24"/>
              </w:rPr>
              <w:t>валидации</w:t>
            </w:r>
            <w:proofErr w:type="spellEnd"/>
            <w:r w:rsidRPr="00694FF2">
              <w:rPr>
                <w:rFonts w:ascii="Tahoma" w:eastAsia="Calibri" w:hAnsi="Tahoma" w:cs="Tahoma"/>
                <w:sz w:val="24"/>
              </w:rPr>
              <w:t xml:space="preserve">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694FF2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B0E9B" w:rsidRPr="00694FF2" w:rsidTr="0033663A">
        <w:trPr>
          <w:trHeight w:val="561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12</w:t>
            </w:r>
            <w:r w:rsidRPr="00694FF2">
              <w:rPr>
                <w:rFonts w:ascii="Tahoma" w:eastAsia="Calibri" w:hAnsi="Tahoma" w:cs="Tahoma"/>
                <w:sz w:val="24"/>
              </w:rPr>
              <w:t>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  <w:r w:rsidRPr="00694FF2">
              <w:rPr>
                <w:rFonts w:ascii="Tahoma" w:eastAsia="Calibri" w:hAnsi="Tahoma" w:cs="Tahoma"/>
                <w:sz w:val="24"/>
              </w:rPr>
              <w:tab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B" w:rsidRPr="003A1273" w:rsidRDefault="00FB0E9B" w:rsidP="00FB0E9B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подачи заявки Поставщик направляет Заказчику наименование банка (перечень банков), который готов предоставить Поставщику независимую гарантию (в размере, на условиях указанном в п. 7 приглашения).</w:t>
            </w:r>
          </w:p>
          <w:p w:rsidR="00FB0E9B" w:rsidRPr="003A1273" w:rsidRDefault="00FB0E9B" w:rsidP="00FB0E9B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</w:p>
          <w:p w:rsidR="00FB0E9B" w:rsidRDefault="00FB0E9B" w:rsidP="00FB0E9B">
            <w:pPr>
              <w:spacing w:line="256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переторжки Поставщик предоставляет Заказчику письменное подтверждение согласованного Заказчиком банка о готовности предоставить независимую гарантию</w:t>
            </w:r>
          </w:p>
        </w:tc>
      </w:tr>
      <w:tr w:rsidR="00FB0E9B" w:rsidRPr="00694FF2" w:rsidTr="00D36500">
        <w:trPr>
          <w:trHeight w:val="1463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13</w:t>
            </w:r>
            <w:r w:rsidRPr="00694FF2">
              <w:rPr>
                <w:rFonts w:ascii="Tahoma" w:eastAsia="Calibri" w:hAnsi="Tahoma" w:cs="Tahoma"/>
                <w:sz w:val="24"/>
              </w:rPr>
              <w:t xml:space="preserve">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</w:t>
            </w:r>
            <w:r w:rsidRPr="00694FF2">
              <w:rPr>
                <w:rFonts w:ascii="Tahoma" w:eastAsia="Calibri" w:hAnsi="Tahoma" w:cs="Tahoma"/>
                <w:sz w:val="24"/>
              </w:rPr>
              <w:lastRenderedPageBreak/>
              <w:t>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lastRenderedPageBreak/>
              <w:t>ВНИМАНИЕ!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составе заявки необходимо предоставить: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1.</w:t>
            </w:r>
            <w:r w:rsidRPr="00694FF2">
              <w:rPr>
                <w:rFonts w:ascii="Tahoma" w:hAnsi="Tahoma" w:cs="Tahoma"/>
                <w:sz w:val="24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2.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3.</w:t>
            </w:r>
            <w:r w:rsidRPr="00694FF2">
              <w:rPr>
                <w:rFonts w:ascii="Tahoma" w:hAnsi="Tahoma" w:cs="Tahoma"/>
                <w:sz w:val="24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4.</w:t>
            </w:r>
            <w:r w:rsidRPr="00694FF2">
              <w:rPr>
                <w:rFonts w:ascii="Tahoma" w:hAnsi="Tahoma" w:cs="Tahoma"/>
                <w:sz w:val="24"/>
              </w:rPr>
              <w:tab/>
              <w:t>Учредительные документы со всеми изменениями (Устав в последней редакции)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5.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постановке на учет в налоговом органе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6.</w:t>
            </w:r>
            <w:r w:rsidRPr="00694FF2">
              <w:rPr>
                <w:rFonts w:ascii="Tahoma" w:hAnsi="Tahoma" w:cs="Tahoma"/>
                <w:sz w:val="24"/>
              </w:rPr>
              <w:tab/>
              <w:t>Бухгалтерский баланс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7.</w:t>
            </w:r>
            <w:r w:rsidRPr="00694FF2">
              <w:rPr>
                <w:rFonts w:ascii="Tahoma" w:hAnsi="Tahoma" w:cs="Tahoma"/>
                <w:sz w:val="24"/>
              </w:rPr>
              <w:tab/>
              <w:t>Отчет о прибылях и убытках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8.</w:t>
            </w:r>
            <w:r w:rsidRPr="00694FF2">
              <w:rPr>
                <w:rFonts w:ascii="Tahoma" w:hAnsi="Tahoma" w:cs="Tahoma"/>
                <w:sz w:val="24"/>
              </w:rPr>
              <w:tab/>
              <w:t>Информационное письмо Госкомстата о присвоении кодов ОКПО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9.</w:t>
            </w:r>
            <w:r w:rsidRPr="00694FF2">
              <w:rPr>
                <w:rFonts w:ascii="Tahoma" w:hAnsi="Tahoma" w:cs="Tahoma"/>
                <w:sz w:val="24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10.</w:t>
            </w:r>
            <w:r w:rsidRPr="00694FF2">
              <w:rPr>
                <w:rFonts w:ascii="Tahoma" w:hAnsi="Tahoma" w:cs="Tahoma"/>
                <w:sz w:val="24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11.</w:t>
            </w:r>
            <w:r w:rsidRPr="00694FF2">
              <w:rPr>
                <w:rFonts w:ascii="Tahoma" w:hAnsi="Tahoma" w:cs="Tahoma"/>
                <w:sz w:val="24"/>
              </w:rPr>
              <w:tab/>
              <w:t xml:space="preserve">Письмо о применяемой системе налогообложения 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12.</w:t>
            </w:r>
            <w:r w:rsidRPr="00694FF2">
              <w:rPr>
                <w:rFonts w:ascii="Tahoma" w:hAnsi="Tahoma" w:cs="Tahoma"/>
                <w:sz w:val="24"/>
              </w:rPr>
              <w:tab/>
              <w:t>Карточка контрагента - юридического лица</w:t>
            </w:r>
            <w:r w:rsidR="00127E7F">
              <w:rPr>
                <w:rFonts w:ascii="Tahoma" w:hAnsi="Tahoma" w:cs="Tahoma"/>
                <w:sz w:val="24"/>
              </w:rPr>
              <w:t xml:space="preserve"> в соответствии с Приложением 5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заполнении Карточки следует обратить внимание на следующее: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все поля обязательны для заполнения;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- проставление прочерков в полях анкеты не допускается; </w:t>
            </w:r>
          </w:p>
          <w:p w:rsidR="00FB0E9B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 случае отсутствия какого-либо реквизита, предусмотренного в карточке, следуе</w:t>
            </w:r>
            <w:r>
              <w:rPr>
                <w:rFonts w:ascii="Tahoma" w:hAnsi="Tahoma" w:cs="Tahoma"/>
                <w:sz w:val="24"/>
              </w:rPr>
              <w:t>т вносить запись: «Отсутствует»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13. Заполненные формы являющими приложениями к настоящему приглашению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Копии документов предоставляются заверенные следующим образом: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proofErr w:type="spellStart"/>
            <w:r w:rsidRPr="00694FF2">
              <w:rPr>
                <w:rFonts w:ascii="Tahoma" w:hAnsi="Tahoma" w:cs="Tahoma"/>
                <w:sz w:val="24"/>
              </w:rPr>
              <w:t>Заверительная</w:t>
            </w:r>
            <w:proofErr w:type="spellEnd"/>
            <w:r w:rsidRPr="00694FF2">
              <w:rPr>
                <w:rFonts w:ascii="Tahoma" w:hAnsi="Tahoma" w:cs="Tahoma"/>
                <w:sz w:val="24"/>
              </w:rPr>
              <w:t xml:space="preserve"> надпись на копии документа должна содержать следующие реквизиты: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слово "Верно" или "Копия верна";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должность лица, заверившего копию;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подпись лица, заверившего копию;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расшифровка подписи (инициалы, фамилия);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печать;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дата заверения.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Копия многостраничного документа должна быть заверена одним из двух способов: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отдельно заверить каждый лист копии;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• прошить все листы, пронумеровать их и заверить на обратной стороне последнего листа на месте прошивки с указанием количества листов, </w:t>
            </w:r>
            <w:proofErr w:type="gramStart"/>
            <w:r w:rsidRPr="00694FF2">
              <w:rPr>
                <w:rFonts w:ascii="Tahoma" w:hAnsi="Tahoma" w:cs="Tahoma"/>
                <w:sz w:val="24"/>
              </w:rPr>
              <w:t>например</w:t>
            </w:r>
            <w:proofErr w:type="gramEnd"/>
            <w:r w:rsidRPr="00694FF2">
              <w:rPr>
                <w:rFonts w:ascii="Tahoma" w:hAnsi="Tahoma" w:cs="Tahoma"/>
                <w:sz w:val="24"/>
              </w:rPr>
              <w:t>: "Копия на 6 листах верна"</w:t>
            </w:r>
          </w:p>
          <w:p w:rsidR="00FB0E9B" w:rsidRPr="00694FF2" w:rsidRDefault="00FB0E9B" w:rsidP="00FB0E9B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</w:t>
            </w:r>
          </w:p>
        </w:tc>
      </w:tr>
      <w:tr w:rsidR="00FB0E9B" w:rsidRPr="00694FF2" w:rsidTr="0033663A">
        <w:trPr>
          <w:trHeight w:val="1457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14</w:t>
            </w:r>
            <w:r w:rsidRPr="00694FF2">
              <w:rPr>
                <w:rFonts w:ascii="Tahoma" w:hAnsi="Tahoma" w:cs="Tahoma"/>
                <w:sz w:val="24"/>
              </w:rPr>
              <w:t>. 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694FF2" w:rsidRDefault="00FB0E9B" w:rsidP="00FB0E9B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  <w:highlight w:val="yellow"/>
              </w:rPr>
            </w:pPr>
            <w:r>
              <w:rPr>
                <w:rFonts w:ascii="Tahoma" w:hAnsi="Tahoma" w:cs="Tahoma"/>
                <w:sz w:val="24"/>
              </w:rPr>
              <w:t>Не предусмотрено</w:t>
            </w:r>
          </w:p>
        </w:tc>
      </w:tr>
      <w:tr w:rsidR="00FB0E9B" w:rsidRPr="00694FF2" w:rsidTr="0033663A">
        <w:trPr>
          <w:trHeight w:val="755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</w:t>
            </w:r>
            <w:r w:rsidRPr="00694FF2">
              <w:rPr>
                <w:rFonts w:ascii="Tahoma" w:hAnsi="Tahoma" w:cs="Tahoma"/>
                <w:sz w:val="24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694FF2" w:rsidRDefault="00FB0E9B" w:rsidP="00FB0E9B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По результатам проведения закупочной процедуры с</w:t>
            </w:r>
            <w:r w:rsidRPr="00694FF2">
              <w:rPr>
                <w:rFonts w:ascii="Tahoma" w:hAnsi="Tahoma" w:cs="Tahoma"/>
                <w:sz w:val="24"/>
              </w:rPr>
              <w:t>делка будет оф</w:t>
            </w:r>
            <w:r>
              <w:rPr>
                <w:rFonts w:ascii="Tahoma" w:hAnsi="Tahoma" w:cs="Tahoma"/>
                <w:sz w:val="24"/>
              </w:rPr>
              <w:t>ормлена по форме договора ООО «Спортивный клуб</w:t>
            </w:r>
            <w:r w:rsidRPr="00694FF2">
              <w:rPr>
                <w:rFonts w:ascii="Tahoma" w:hAnsi="Tahoma" w:cs="Tahoma"/>
                <w:sz w:val="24"/>
              </w:rPr>
              <w:t xml:space="preserve"> «Норильск».</w:t>
            </w:r>
          </w:p>
          <w:p w:rsidR="00FB0E9B" w:rsidRPr="00694FF2" w:rsidRDefault="00FB0E9B" w:rsidP="00FB0E9B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Условия ответственности определены соответствующим разделом формы договора.</w:t>
            </w:r>
          </w:p>
          <w:p w:rsidR="00FB0E9B" w:rsidRPr="00694FF2" w:rsidRDefault="00FB0E9B" w:rsidP="00FB0E9B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рассмотрении споров применяются нормы права Российской Федерации.</w:t>
            </w:r>
          </w:p>
          <w:p w:rsidR="00FB0E9B" w:rsidRPr="00694FF2" w:rsidRDefault="00FB0E9B" w:rsidP="00FB0E9B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 неисполнение и ненадлежащее исполнение обязательств Поставщик обязан нести ответственность в соответствии с действующим законодательством РФ</w:t>
            </w:r>
          </w:p>
        </w:tc>
      </w:tr>
      <w:tr w:rsidR="00FB0E9B" w:rsidRPr="00694FF2" w:rsidTr="0033663A">
        <w:trPr>
          <w:trHeight w:val="531"/>
        </w:trPr>
        <w:tc>
          <w:tcPr>
            <w:tcW w:w="3544" w:type="dxa"/>
            <w:shd w:val="clear" w:color="auto" w:fill="auto"/>
          </w:tcPr>
          <w:p w:rsidR="00FB0E9B" w:rsidRPr="00694FF2" w:rsidRDefault="00FB0E9B" w:rsidP="00FB0E9B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</w:t>
            </w:r>
            <w:r w:rsidRPr="00694FF2">
              <w:rPr>
                <w:rFonts w:ascii="Tahoma" w:hAnsi="Tahoma" w:cs="Tahoma"/>
                <w:sz w:val="24"/>
              </w:rPr>
              <w:t>. Иные специальные требования Заказчика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B0E9B" w:rsidRPr="000F5C5C" w:rsidRDefault="00FB0E9B" w:rsidP="00FB0E9B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</w:t>
            </w:r>
            <w:r w:rsidR="00145DF7">
              <w:rPr>
                <w:rFonts w:ascii="Tahoma" w:eastAsia="Calibri" w:hAnsi="Tahoma" w:cs="Tahoma"/>
                <w:sz w:val="24"/>
              </w:rPr>
              <w:t>ованному перечню (приложение № 3</w:t>
            </w:r>
            <w:r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FB0E9B" w:rsidRPr="00694FF2" w:rsidTr="00FB0E9B">
        <w:trPr>
          <w:trHeight w:val="645"/>
        </w:trPr>
        <w:tc>
          <w:tcPr>
            <w:tcW w:w="3544" w:type="dxa"/>
            <w:vMerge w:val="restart"/>
            <w:shd w:val="clear" w:color="auto" w:fill="auto"/>
          </w:tcPr>
          <w:p w:rsidR="00FB0E9B" w:rsidRPr="003A1273" w:rsidRDefault="00FB0E9B" w:rsidP="00FB0E9B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3A1273">
              <w:rPr>
                <w:rFonts w:ascii="Tahoma" w:hAnsi="Tahoma" w:cs="Tahoma"/>
                <w:sz w:val="24"/>
              </w:rPr>
              <w:t xml:space="preserve">17. Необходимые требования к Поставщику </w:t>
            </w:r>
          </w:p>
        </w:tc>
        <w:tc>
          <w:tcPr>
            <w:tcW w:w="2268" w:type="dxa"/>
            <w:shd w:val="clear" w:color="auto" w:fill="auto"/>
          </w:tcPr>
          <w:p w:rsidR="00FB0E9B" w:rsidRPr="00FB0E9B" w:rsidRDefault="00FB0E9B" w:rsidP="00FB0E9B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0E9B">
              <w:rPr>
                <w:rFonts w:ascii="Tahoma" w:hAnsi="Tahoma" w:cs="Tahoma"/>
                <w:b/>
                <w:sz w:val="16"/>
                <w:szCs w:val="16"/>
              </w:rPr>
              <w:t>Наименование требования</w:t>
            </w:r>
          </w:p>
        </w:tc>
        <w:tc>
          <w:tcPr>
            <w:tcW w:w="3260" w:type="dxa"/>
            <w:shd w:val="clear" w:color="auto" w:fill="auto"/>
          </w:tcPr>
          <w:p w:rsidR="00FB0E9B" w:rsidRPr="00FB0E9B" w:rsidRDefault="00FB0E9B" w:rsidP="00FB0E9B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0E9B">
              <w:rPr>
                <w:rFonts w:ascii="Tahoma" w:hAnsi="Tahoma" w:cs="Tahoma"/>
                <w:b/>
                <w:sz w:val="16"/>
                <w:szCs w:val="16"/>
              </w:rPr>
              <w:t>Критерий преодоления требования</w:t>
            </w:r>
          </w:p>
        </w:tc>
      </w:tr>
      <w:tr w:rsidR="00855E4F" w:rsidRPr="00694FF2" w:rsidTr="00FB0E9B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855E4F" w:rsidRPr="003A1273" w:rsidRDefault="00855E4F" w:rsidP="00855E4F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F" w:rsidRPr="00057037" w:rsidRDefault="00855E4F" w:rsidP="00855E4F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7037">
              <w:rPr>
                <w:rFonts w:ascii="Tahoma" w:hAnsi="Tahoma" w:cs="Tahoma"/>
                <w:sz w:val="18"/>
                <w:szCs w:val="18"/>
              </w:rPr>
              <w:t>Соответствие коммерческого предложения поставщика требованиям технического задания.</w:t>
            </w:r>
          </w:p>
        </w:tc>
        <w:tc>
          <w:tcPr>
            <w:tcW w:w="3260" w:type="dxa"/>
            <w:shd w:val="clear" w:color="auto" w:fill="auto"/>
          </w:tcPr>
          <w:p w:rsidR="00855E4F" w:rsidRPr="00057037" w:rsidRDefault="00855E4F" w:rsidP="00855E4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7037">
              <w:rPr>
                <w:rFonts w:ascii="Tahoma" w:hAnsi="Tahoma" w:cs="Tahoma"/>
                <w:sz w:val="18"/>
                <w:szCs w:val="18"/>
              </w:rPr>
              <w:t xml:space="preserve">Оказание услуг в соответствии с Техническим заданием. </w:t>
            </w:r>
          </w:p>
          <w:p w:rsidR="00855E4F" w:rsidRPr="00057037" w:rsidRDefault="00855E4F" w:rsidP="00855E4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7037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855E4F" w:rsidRPr="00694FF2" w:rsidTr="002013B7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855E4F" w:rsidRPr="003A1273" w:rsidRDefault="00855E4F" w:rsidP="00855E4F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F" w:rsidRPr="00057037" w:rsidRDefault="00855E4F" w:rsidP="00855E4F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kern w:val="24"/>
                <w:sz w:val="18"/>
                <w:szCs w:val="18"/>
              </w:rPr>
            </w:pPr>
            <w:r w:rsidRPr="00057037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договора.</w:t>
            </w:r>
          </w:p>
        </w:tc>
        <w:tc>
          <w:tcPr>
            <w:tcW w:w="3260" w:type="dxa"/>
            <w:shd w:val="clear" w:color="auto" w:fill="auto"/>
          </w:tcPr>
          <w:p w:rsidR="00855E4F" w:rsidRPr="00057037" w:rsidRDefault="00855E4F" w:rsidP="00855E4F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7037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855E4F" w:rsidRPr="00057037" w:rsidRDefault="00855E4F" w:rsidP="00855E4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7037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855E4F" w:rsidRPr="00694FF2" w:rsidTr="00FB0E9B">
        <w:trPr>
          <w:trHeight w:val="1173"/>
        </w:trPr>
        <w:tc>
          <w:tcPr>
            <w:tcW w:w="3544" w:type="dxa"/>
            <w:vMerge/>
            <w:shd w:val="clear" w:color="auto" w:fill="auto"/>
          </w:tcPr>
          <w:p w:rsidR="00855E4F" w:rsidRPr="003A1273" w:rsidRDefault="00855E4F" w:rsidP="00855E4F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F" w:rsidRPr="00057037" w:rsidRDefault="00855E4F" w:rsidP="00855E4F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57037">
              <w:rPr>
                <w:rFonts w:ascii="Tahoma" w:hAnsi="Tahoma" w:cs="Tahoma"/>
                <w:sz w:val="18"/>
                <w:szCs w:val="18"/>
              </w:rPr>
              <w:t>Согласие поставщика с условиями оплаты указанными в разделе 6 Приглашения</w:t>
            </w:r>
          </w:p>
        </w:tc>
        <w:tc>
          <w:tcPr>
            <w:tcW w:w="3260" w:type="dxa"/>
            <w:shd w:val="clear" w:color="auto" w:fill="auto"/>
          </w:tcPr>
          <w:p w:rsidR="00855E4F" w:rsidRPr="00057037" w:rsidRDefault="00855E4F" w:rsidP="00855E4F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7037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FB0E9B" w:rsidRPr="00694FF2" w:rsidTr="00FB0E9B">
        <w:trPr>
          <w:trHeight w:val="40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B0E9B" w:rsidRPr="00694FF2" w:rsidRDefault="00FB0E9B" w:rsidP="00FB0E9B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</w:t>
            </w:r>
            <w:r w:rsidRPr="00694FF2">
              <w:rPr>
                <w:rFonts w:ascii="Tahoma" w:hAnsi="Tahoma" w:cs="Tahoma"/>
                <w:sz w:val="24"/>
              </w:rPr>
              <w:t>. Срок действия КП/ТКП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9B" w:rsidRPr="00694FF2" w:rsidRDefault="00FB0E9B" w:rsidP="00FB0E9B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 менее 90 календарных дней с даты окончания срока подачи предложений</w:t>
            </w:r>
          </w:p>
        </w:tc>
      </w:tr>
    </w:tbl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3A1273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ООО «Спортивный клуб</w:t>
      </w:r>
      <w:r w:rsidR="000D34E5" w:rsidRPr="000C3384">
        <w:rPr>
          <w:rFonts w:ascii="Tahoma" w:hAnsi="Tahoma" w:cs="Tahoma"/>
          <w:sz w:val="24"/>
        </w:rPr>
        <w:t xml:space="preserve">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 w:rsidR="000D34E5">
        <w:rPr>
          <w:rFonts w:ascii="Tahoma" w:hAnsi="Tahoma" w:cs="Tahoma"/>
          <w:sz w:val="24"/>
        </w:rPr>
        <w:t>ы</w:t>
      </w:r>
      <w:r w:rsidR="000D34E5"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</w:t>
      </w:r>
      <w:r w:rsidR="003A1273">
        <w:rPr>
          <w:rFonts w:ascii="Tahoma" w:hAnsi="Tahoma" w:cs="Tahoma"/>
          <w:sz w:val="24"/>
        </w:rPr>
        <w:t>ри каких обстоятельствах ООО «Спортивный клуб</w:t>
      </w:r>
      <w:r w:rsidRPr="000C3384">
        <w:rPr>
          <w:rFonts w:ascii="Tahoma" w:hAnsi="Tahoma" w:cs="Tahoma"/>
          <w:sz w:val="24"/>
        </w:rPr>
        <w:t xml:space="preserve">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10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. 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Вашу Заявку на участие в </w:t>
      </w:r>
      <w:r>
        <w:rPr>
          <w:rFonts w:ascii="Tahoma" w:hAnsi="Tahoma" w:cs="Tahoma"/>
          <w:sz w:val="24"/>
        </w:rPr>
        <w:t>Закупоч</w:t>
      </w:r>
      <w:r w:rsidRPr="00F346EA">
        <w:rPr>
          <w:rFonts w:ascii="Tahoma" w:hAnsi="Tahoma" w:cs="Tahoma"/>
          <w:sz w:val="24"/>
        </w:rPr>
        <w:t>ной процедуре прошу направлять на имя Председателя Тендерной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комиссии – Генерального директора </w:t>
      </w:r>
      <w:r w:rsidR="000F5C5C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>ООО «</w:t>
      </w:r>
      <w:r w:rsidR="00FB0E9B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</w:t>
      </w:r>
      <w:r>
        <w:rPr>
          <w:rFonts w:ascii="Tahoma" w:hAnsi="Tahoma" w:cs="Tahoma"/>
          <w:sz w:val="24"/>
        </w:rPr>
        <w:t>Никитина Евгения Александровича</w:t>
      </w:r>
      <w:r w:rsidRPr="00F346EA">
        <w:rPr>
          <w:rFonts w:ascii="Tahoma" w:hAnsi="Tahoma" w:cs="Tahoma"/>
          <w:sz w:val="24"/>
        </w:rPr>
        <w:t xml:space="preserve"> по адресу: 6633</w:t>
      </w:r>
      <w:r>
        <w:rPr>
          <w:rFonts w:ascii="Tahoma" w:hAnsi="Tahoma" w:cs="Tahoma"/>
          <w:sz w:val="24"/>
        </w:rPr>
        <w:t>02</w:t>
      </w:r>
      <w:r w:rsidRPr="00F346EA">
        <w:rPr>
          <w:rFonts w:ascii="Tahoma" w:hAnsi="Tahoma" w:cs="Tahoma"/>
          <w:sz w:val="24"/>
        </w:rPr>
        <w:t xml:space="preserve">, Красноярский край, г. Норильск, </w:t>
      </w:r>
      <w:r>
        <w:rPr>
          <w:rFonts w:ascii="Tahoma" w:hAnsi="Tahoma" w:cs="Tahoma"/>
          <w:sz w:val="24"/>
        </w:rPr>
        <w:t>ул. Комсомольская</w:t>
      </w:r>
      <w:r w:rsidRPr="00F346EA">
        <w:rPr>
          <w:rFonts w:ascii="Tahoma" w:hAnsi="Tahoma" w:cs="Tahoma"/>
          <w:sz w:val="24"/>
        </w:rPr>
        <w:t>, 1</w:t>
      </w:r>
      <w:r>
        <w:rPr>
          <w:rFonts w:ascii="Tahoma" w:hAnsi="Tahoma" w:cs="Tahoma"/>
          <w:sz w:val="24"/>
        </w:rPr>
        <w:t>3-А</w:t>
      </w:r>
      <w:r w:rsidRPr="00F346EA">
        <w:rPr>
          <w:rFonts w:ascii="Tahoma" w:hAnsi="Tahoma" w:cs="Tahoma"/>
          <w:sz w:val="24"/>
        </w:rPr>
        <w:t>, пом.</w:t>
      </w:r>
      <w:r>
        <w:rPr>
          <w:rFonts w:ascii="Tahoma" w:hAnsi="Tahoma" w:cs="Tahoma"/>
          <w:sz w:val="24"/>
        </w:rPr>
        <w:t>108</w:t>
      </w:r>
      <w:r w:rsidRPr="00F346EA">
        <w:rPr>
          <w:rFonts w:ascii="Tahoma" w:hAnsi="Tahoma" w:cs="Tahoma"/>
          <w:sz w:val="24"/>
        </w:rPr>
        <w:t>, приемная</w:t>
      </w:r>
      <w:r w:rsidR="003A1273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>ООО «</w:t>
      </w:r>
      <w:r w:rsidR="003A1273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>» тел. (3919) 2</w:t>
      </w:r>
      <w:r>
        <w:rPr>
          <w:rFonts w:ascii="Tahoma" w:hAnsi="Tahoma" w:cs="Tahoma"/>
          <w:sz w:val="24"/>
        </w:rPr>
        <w:t>6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00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99</w:t>
      </w:r>
      <w:r w:rsidR="003A1273">
        <w:rPr>
          <w:rFonts w:ascii="Tahoma" w:hAnsi="Tahoma" w:cs="Tahoma"/>
          <w:sz w:val="24"/>
        </w:rPr>
        <w:t>, 26-00-97.</w:t>
      </w:r>
    </w:p>
    <w:p w:rsidR="00CB1F51" w:rsidRDefault="000D34E5" w:rsidP="00FB0E9B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 w:rsidR="00855E4F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</w:t>
      </w:r>
      <w:r w:rsidR="003A1273">
        <w:rPr>
          <w:rFonts w:ascii="Tahoma" w:hAnsi="Tahoma" w:cs="Tahoma"/>
          <w:sz w:val="24"/>
        </w:rPr>
        <w:t>ружении подобных фактов, ООО «Спортивный клуб</w:t>
      </w:r>
      <w:r w:rsidRPr="0039275B">
        <w:rPr>
          <w:rFonts w:ascii="Tahoma" w:hAnsi="Tahoma" w:cs="Tahoma"/>
          <w:sz w:val="24"/>
        </w:rPr>
        <w:t xml:space="preserve"> «Норильск» оставляет за собой право исключить потенциального Поставщика из дальнейшего участия в Закупочной процедуре.</w:t>
      </w:r>
    </w:p>
    <w:p w:rsidR="00FB0E9B" w:rsidRDefault="00FB0E9B" w:rsidP="00FB0E9B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</w:p>
    <w:p w:rsidR="00145DF7" w:rsidRDefault="00145DF7" w:rsidP="00FB0E9B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</w:p>
    <w:p w:rsidR="00EB6264" w:rsidRPr="00EB6264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  <w:r w:rsidRPr="00F752C3">
        <w:rPr>
          <w:rFonts w:ascii="Tahoma" w:hAnsi="Tahoma" w:cs="Tahoma"/>
          <w:sz w:val="24"/>
        </w:rPr>
        <w:t>Приложение: 1 файл в формате «.</w:t>
      </w:r>
      <w:proofErr w:type="spellStart"/>
      <w:r w:rsidRPr="00F752C3">
        <w:rPr>
          <w:rFonts w:ascii="Tahoma" w:hAnsi="Tahoma" w:cs="Tahoma"/>
          <w:sz w:val="24"/>
          <w:lang w:val="en-US"/>
        </w:rPr>
        <w:t>rar</w:t>
      </w:r>
      <w:proofErr w:type="spellEnd"/>
      <w:r w:rsidRPr="00F752C3">
        <w:rPr>
          <w:rFonts w:ascii="Tahoma" w:hAnsi="Tahoma" w:cs="Tahoma"/>
          <w:sz w:val="24"/>
        </w:rPr>
        <w:t>».</w:t>
      </w: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145DF7" w:rsidRDefault="00145DF7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 уважением,</w:t>
      </w:r>
    </w:p>
    <w:p w:rsidR="00FB0E9B" w:rsidRDefault="00FB0E9B" w:rsidP="000D34E5">
      <w:pPr>
        <w:tabs>
          <w:tab w:val="left" w:pos="10206"/>
        </w:tabs>
        <w:rPr>
          <w:rFonts w:ascii="Tahoma" w:hAnsi="Tahoma" w:cs="Tahoma"/>
          <w:b/>
          <w:sz w:val="24"/>
        </w:rPr>
      </w:pPr>
    </w:p>
    <w:p w:rsidR="00FB0E9B" w:rsidRDefault="00FB0E9B" w:rsidP="000D34E5">
      <w:pPr>
        <w:tabs>
          <w:tab w:val="left" w:pos="10206"/>
        </w:tabs>
        <w:rPr>
          <w:rFonts w:ascii="Tahoma" w:hAnsi="Tahoma" w:cs="Tahoma"/>
          <w:b/>
          <w:sz w:val="24"/>
        </w:rPr>
      </w:pPr>
    </w:p>
    <w:p w:rsidR="008A7B05" w:rsidRDefault="00FB0E9B" w:rsidP="000D34E5">
      <w:pPr>
        <w:tabs>
          <w:tab w:val="left" w:pos="10206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Ген</w:t>
      </w:r>
      <w:r w:rsidR="00DD4A95">
        <w:rPr>
          <w:rFonts w:ascii="Tahoma" w:hAnsi="Tahoma" w:cs="Tahoma"/>
          <w:b/>
          <w:sz w:val="24"/>
        </w:rPr>
        <w:t>еральный директор</w:t>
      </w:r>
      <w:r w:rsidR="000D4BC8">
        <w:rPr>
          <w:rFonts w:ascii="Tahoma" w:hAnsi="Tahoma" w:cs="Tahoma"/>
          <w:b/>
          <w:sz w:val="24"/>
        </w:rPr>
        <w:t xml:space="preserve">                                  </w:t>
      </w:r>
      <w:r w:rsidR="00DD4A95">
        <w:rPr>
          <w:rFonts w:ascii="Tahoma" w:hAnsi="Tahoma" w:cs="Tahoma"/>
          <w:b/>
          <w:sz w:val="24"/>
        </w:rPr>
        <w:t xml:space="preserve">                             Е.А. Никитин</w:t>
      </w:r>
    </w:p>
    <w:p w:rsidR="006E65E4" w:rsidRDefault="006E65E4" w:rsidP="00EB0534">
      <w:pPr>
        <w:rPr>
          <w:rFonts w:ascii="Tahoma" w:hAnsi="Tahoma" w:cs="Tahoma"/>
        </w:rPr>
      </w:pPr>
    </w:p>
    <w:p w:rsidR="00145DF7" w:rsidRDefault="00145DF7" w:rsidP="00EB0534">
      <w:pPr>
        <w:rPr>
          <w:rFonts w:ascii="Tahoma" w:hAnsi="Tahoma" w:cs="Tahoma"/>
        </w:rPr>
      </w:pPr>
    </w:p>
    <w:p w:rsidR="00145DF7" w:rsidRDefault="00145DF7" w:rsidP="00EB0534">
      <w:pPr>
        <w:rPr>
          <w:rFonts w:ascii="Tahoma" w:hAnsi="Tahoma" w:cs="Tahoma"/>
        </w:rPr>
      </w:pPr>
    </w:p>
    <w:p w:rsidR="00145DF7" w:rsidRDefault="00145DF7" w:rsidP="00EB0534">
      <w:pPr>
        <w:rPr>
          <w:rFonts w:ascii="Tahoma" w:hAnsi="Tahoma" w:cs="Tahoma"/>
        </w:rPr>
      </w:pPr>
    </w:p>
    <w:p w:rsidR="00145DF7" w:rsidRDefault="00145DF7" w:rsidP="00EB0534">
      <w:pPr>
        <w:rPr>
          <w:rFonts w:ascii="Tahoma" w:hAnsi="Tahoma" w:cs="Tahoma"/>
        </w:rPr>
      </w:pPr>
    </w:p>
    <w:p w:rsidR="00145DF7" w:rsidRDefault="00145DF7" w:rsidP="00EB0534">
      <w:pPr>
        <w:rPr>
          <w:rFonts w:ascii="Tahoma" w:hAnsi="Tahoma" w:cs="Tahoma"/>
        </w:rPr>
      </w:pPr>
    </w:p>
    <w:p w:rsidR="00145DF7" w:rsidRDefault="00145DF7" w:rsidP="00EB0534">
      <w:pPr>
        <w:rPr>
          <w:rFonts w:ascii="Tahoma" w:hAnsi="Tahoma" w:cs="Tahoma"/>
        </w:rPr>
      </w:pPr>
    </w:p>
    <w:p w:rsidR="00145DF7" w:rsidRDefault="00145DF7" w:rsidP="00EB0534">
      <w:pPr>
        <w:rPr>
          <w:rFonts w:ascii="Tahoma" w:hAnsi="Tahoma" w:cs="Tahoma"/>
        </w:rPr>
      </w:pPr>
    </w:p>
    <w:p w:rsidR="00145DF7" w:rsidRDefault="00145DF7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0D4BC8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221AB3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(3919) </w:t>
      </w:r>
      <w:r w:rsidR="000D4BC8"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00" w:rsidRDefault="00246C00" w:rsidP="00B67D92">
      <w:r>
        <w:separator/>
      </w:r>
    </w:p>
  </w:endnote>
  <w:endnote w:type="continuationSeparator" w:id="0">
    <w:p w:rsidR="00246C00" w:rsidRDefault="00246C0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Octosquares Bold">
    <w:altName w:val="72"/>
    <w:charset w:val="CC"/>
    <w:family w:val="auto"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E63E69">
          <w:rPr>
            <w:rFonts w:ascii="Tahoma" w:hAnsi="Tahoma" w:cs="Tahoma"/>
            <w:noProof/>
            <w:sz w:val="24"/>
          </w:rPr>
          <w:t>6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61" w:type="dxa"/>
                              <w:tblInd w:w="1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5"/>
                              <w:gridCol w:w="2221"/>
                              <w:gridCol w:w="2368"/>
                              <w:gridCol w:w="1777"/>
                            </w:tblGrid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E8056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 ООО «Спортивный клуб «Норильск»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F2324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ул. Комсомольская,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Норильск, 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proofErr w:type="spellEnd"/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15277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461" w:type="dxa"/>
                        <w:tblInd w:w="1276" w:type="dxa"/>
                        <w:tblLook w:val="04A0" w:firstRow="1" w:lastRow="0" w:firstColumn="1" w:lastColumn="0" w:noHBand="0" w:noVBand="1"/>
                      </w:tblPr>
                      <w:tblGrid>
                        <w:gridCol w:w="3095"/>
                        <w:gridCol w:w="2221"/>
                        <w:gridCol w:w="2368"/>
                        <w:gridCol w:w="1777"/>
                      </w:tblGrid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E8056A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 ООО «Спортивный клуб «Норильск»</w:t>
                            </w: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F2324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ул. Комсомольская,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тел.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Норильск, 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proofErr w:type="spellEnd"/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15277A" w:rsidRDefault="0033663A" w:rsidP="0033663A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00" w:rsidRDefault="00246C00" w:rsidP="00B67D92">
      <w:r>
        <w:separator/>
      </w:r>
    </w:p>
  </w:footnote>
  <w:footnote w:type="continuationSeparator" w:id="0">
    <w:p w:rsidR="00246C00" w:rsidRDefault="00246C0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3" w15:restartNumberingAfterBreak="0">
    <w:nsid w:val="2D363EE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63D"/>
    <w:multiLevelType w:val="multilevel"/>
    <w:tmpl w:val="1666C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61441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7646"/>
    <w:rsid w:val="0008341C"/>
    <w:rsid w:val="000A4CF5"/>
    <w:rsid w:val="000B19CB"/>
    <w:rsid w:val="000B5B56"/>
    <w:rsid w:val="000D34E5"/>
    <w:rsid w:val="000D49BA"/>
    <w:rsid w:val="000D4BC8"/>
    <w:rsid w:val="000F5C5C"/>
    <w:rsid w:val="00127E7F"/>
    <w:rsid w:val="0013682B"/>
    <w:rsid w:val="00145DF7"/>
    <w:rsid w:val="0015277A"/>
    <w:rsid w:val="00164B05"/>
    <w:rsid w:val="0019640B"/>
    <w:rsid w:val="001B1D56"/>
    <w:rsid w:val="001C3C12"/>
    <w:rsid w:val="001C52D5"/>
    <w:rsid w:val="001D03E8"/>
    <w:rsid w:val="001D0E1F"/>
    <w:rsid w:val="00221AB3"/>
    <w:rsid w:val="00240CFD"/>
    <w:rsid w:val="00246C00"/>
    <w:rsid w:val="002473BC"/>
    <w:rsid w:val="00265E5A"/>
    <w:rsid w:val="002810E9"/>
    <w:rsid w:val="002937CF"/>
    <w:rsid w:val="002B6F84"/>
    <w:rsid w:val="002D6968"/>
    <w:rsid w:val="002E0930"/>
    <w:rsid w:val="00325D72"/>
    <w:rsid w:val="0033663A"/>
    <w:rsid w:val="00341BA8"/>
    <w:rsid w:val="00354F0C"/>
    <w:rsid w:val="003874A8"/>
    <w:rsid w:val="003A1273"/>
    <w:rsid w:val="003B43DB"/>
    <w:rsid w:val="003C5E99"/>
    <w:rsid w:val="003F10AB"/>
    <w:rsid w:val="00412CD2"/>
    <w:rsid w:val="0041708D"/>
    <w:rsid w:val="004437B5"/>
    <w:rsid w:val="00460D71"/>
    <w:rsid w:val="00490D36"/>
    <w:rsid w:val="00495DC3"/>
    <w:rsid w:val="004A4936"/>
    <w:rsid w:val="004A76AE"/>
    <w:rsid w:val="004B012A"/>
    <w:rsid w:val="004D2FA0"/>
    <w:rsid w:val="00515A6B"/>
    <w:rsid w:val="00517F7F"/>
    <w:rsid w:val="005225DB"/>
    <w:rsid w:val="00525F84"/>
    <w:rsid w:val="00537DEE"/>
    <w:rsid w:val="0055259B"/>
    <w:rsid w:val="00553C83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5E2031"/>
    <w:rsid w:val="00601279"/>
    <w:rsid w:val="00630FFB"/>
    <w:rsid w:val="0064402A"/>
    <w:rsid w:val="006446FA"/>
    <w:rsid w:val="006471DE"/>
    <w:rsid w:val="00655A3C"/>
    <w:rsid w:val="00670361"/>
    <w:rsid w:val="00694FF2"/>
    <w:rsid w:val="0069738B"/>
    <w:rsid w:val="006C0C00"/>
    <w:rsid w:val="006D7773"/>
    <w:rsid w:val="006E34B6"/>
    <w:rsid w:val="006E65E4"/>
    <w:rsid w:val="006F2262"/>
    <w:rsid w:val="0070184C"/>
    <w:rsid w:val="00707C7F"/>
    <w:rsid w:val="00715C11"/>
    <w:rsid w:val="00726C1C"/>
    <w:rsid w:val="0075169B"/>
    <w:rsid w:val="0079219D"/>
    <w:rsid w:val="00796AE6"/>
    <w:rsid w:val="007A2F82"/>
    <w:rsid w:val="007A7D71"/>
    <w:rsid w:val="007C1321"/>
    <w:rsid w:val="007C2862"/>
    <w:rsid w:val="007C784B"/>
    <w:rsid w:val="007D39E9"/>
    <w:rsid w:val="007F1108"/>
    <w:rsid w:val="008134D7"/>
    <w:rsid w:val="008217A3"/>
    <w:rsid w:val="00834F8E"/>
    <w:rsid w:val="00855E4F"/>
    <w:rsid w:val="0088350B"/>
    <w:rsid w:val="00885E5E"/>
    <w:rsid w:val="00894F2F"/>
    <w:rsid w:val="008976F2"/>
    <w:rsid w:val="008A7B05"/>
    <w:rsid w:val="008B0047"/>
    <w:rsid w:val="008C0872"/>
    <w:rsid w:val="008D17E3"/>
    <w:rsid w:val="008E1220"/>
    <w:rsid w:val="00914DAB"/>
    <w:rsid w:val="00980277"/>
    <w:rsid w:val="00986124"/>
    <w:rsid w:val="009F18A9"/>
    <w:rsid w:val="00A1235E"/>
    <w:rsid w:val="00A3721C"/>
    <w:rsid w:val="00A4670F"/>
    <w:rsid w:val="00A55526"/>
    <w:rsid w:val="00A600C1"/>
    <w:rsid w:val="00A6575B"/>
    <w:rsid w:val="00A71C83"/>
    <w:rsid w:val="00AA16E8"/>
    <w:rsid w:val="00AA6751"/>
    <w:rsid w:val="00AC2BD5"/>
    <w:rsid w:val="00B60984"/>
    <w:rsid w:val="00B67D92"/>
    <w:rsid w:val="00B8342B"/>
    <w:rsid w:val="00B954C1"/>
    <w:rsid w:val="00BB69AD"/>
    <w:rsid w:val="00BE4829"/>
    <w:rsid w:val="00BF3112"/>
    <w:rsid w:val="00C14D82"/>
    <w:rsid w:val="00C34B96"/>
    <w:rsid w:val="00C42870"/>
    <w:rsid w:val="00C571A5"/>
    <w:rsid w:val="00C74AD1"/>
    <w:rsid w:val="00CB1F51"/>
    <w:rsid w:val="00CF1CD2"/>
    <w:rsid w:val="00CF5D3B"/>
    <w:rsid w:val="00D008BA"/>
    <w:rsid w:val="00D03669"/>
    <w:rsid w:val="00D21024"/>
    <w:rsid w:val="00D36500"/>
    <w:rsid w:val="00D933D8"/>
    <w:rsid w:val="00DB00A8"/>
    <w:rsid w:val="00DC0260"/>
    <w:rsid w:val="00DD4A95"/>
    <w:rsid w:val="00DD5E83"/>
    <w:rsid w:val="00DE5837"/>
    <w:rsid w:val="00E07942"/>
    <w:rsid w:val="00E1324B"/>
    <w:rsid w:val="00E2226D"/>
    <w:rsid w:val="00E561CA"/>
    <w:rsid w:val="00E61592"/>
    <w:rsid w:val="00E63E69"/>
    <w:rsid w:val="00E72C64"/>
    <w:rsid w:val="00E8056A"/>
    <w:rsid w:val="00E84833"/>
    <w:rsid w:val="00EB0534"/>
    <w:rsid w:val="00EB3B4D"/>
    <w:rsid w:val="00EB6264"/>
    <w:rsid w:val="00F00CEE"/>
    <w:rsid w:val="00F0537A"/>
    <w:rsid w:val="00F06A4A"/>
    <w:rsid w:val="00F26248"/>
    <w:rsid w:val="00F71DC7"/>
    <w:rsid w:val="00FA1C82"/>
    <w:rsid w:val="00FB0E9B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0077c8"/>
    </o:shapedefaults>
    <o:shapelayout v:ext="edit">
      <o:idmap v:ext="edit" data="1"/>
    </o:shapelayout>
  </w:shapeDefaults>
  <w:decimalSymbol w:val=","/>
  <w:listSeparator w:val=";"/>
  <w14:docId w14:val="7E09590E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  <w:style w:type="character" w:styleId="af0">
    <w:name w:val="footnote reference"/>
    <w:uiPriority w:val="99"/>
    <w:rsid w:val="000F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knzakupki@nor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nickel.ru/suppliers/tenders/loc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396F-FC43-43B6-9715-BC354E2F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10626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50</cp:revision>
  <cp:lastPrinted>2023-10-16T05:28:00Z</cp:lastPrinted>
  <dcterms:created xsi:type="dcterms:W3CDTF">2023-10-17T03:32:00Z</dcterms:created>
  <dcterms:modified xsi:type="dcterms:W3CDTF">2025-06-23T08:04:00Z</dcterms:modified>
</cp:coreProperties>
</file>